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66DA3" w14:textId="77777777" w:rsidR="005E0FAE"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7D08D676" w14:textId="77777777" w:rsidR="005E0FAE" w:rsidRPr="005366F8" w:rsidRDefault="005E0FAE">
      <w:pPr>
        <w:spacing w:line="540" w:lineRule="exact"/>
        <w:jc w:val="center"/>
        <w:rPr>
          <w:rFonts w:ascii="华文中宋" w:eastAsia="华文中宋" w:hAnsi="华文中宋" w:cs="宋体" w:hint="eastAsia"/>
          <w:b/>
          <w:kern w:val="0"/>
          <w:sz w:val="52"/>
          <w:szCs w:val="52"/>
        </w:rPr>
      </w:pPr>
    </w:p>
    <w:p w14:paraId="57185B4F" w14:textId="77777777" w:rsidR="005E0FAE" w:rsidRDefault="005E0FAE">
      <w:pPr>
        <w:spacing w:line="540" w:lineRule="exact"/>
        <w:jc w:val="center"/>
        <w:rPr>
          <w:rFonts w:ascii="华文中宋" w:eastAsia="华文中宋" w:hAnsi="华文中宋" w:cs="宋体" w:hint="eastAsia"/>
          <w:b/>
          <w:kern w:val="0"/>
          <w:sz w:val="52"/>
          <w:szCs w:val="52"/>
        </w:rPr>
      </w:pPr>
    </w:p>
    <w:p w14:paraId="5C73DC02" w14:textId="77777777" w:rsidR="005E0FAE" w:rsidRDefault="005E0FAE">
      <w:pPr>
        <w:spacing w:line="540" w:lineRule="exact"/>
        <w:jc w:val="center"/>
        <w:rPr>
          <w:rFonts w:ascii="华文中宋" w:eastAsia="华文中宋" w:hAnsi="华文中宋" w:cs="宋体" w:hint="eastAsia"/>
          <w:b/>
          <w:kern w:val="0"/>
          <w:sz w:val="52"/>
          <w:szCs w:val="52"/>
        </w:rPr>
      </w:pPr>
    </w:p>
    <w:p w14:paraId="63CC31A9" w14:textId="77777777" w:rsidR="005E0FAE" w:rsidRDefault="005E0FAE">
      <w:pPr>
        <w:spacing w:line="540" w:lineRule="exact"/>
        <w:jc w:val="center"/>
        <w:rPr>
          <w:rFonts w:ascii="华文中宋" w:eastAsia="华文中宋" w:hAnsi="华文中宋" w:cs="宋体" w:hint="eastAsia"/>
          <w:b/>
          <w:kern w:val="0"/>
          <w:sz w:val="52"/>
          <w:szCs w:val="52"/>
        </w:rPr>
      </w:pPr>
    </w:p>
    <w:p w14:paraId="2B9A00AE" w14:textId="77777777" w:rsidR="005E0FAE" w:rsidRDefault="005E0FAE">
      <w:pPr>
        <w:spacing w:line="540" w:lineRule="exact"/>
        <w:jc w:val="center"/>
        <w:rPr>
          <w:rFonts w:ascii="华文中宋" w:eastAsia="华文中宋" w:hAnsi="华文中宋" w:cs="宋体" w:hint="eastAsia"/>
          <w:b/>
          <w:kern w:val="0"/>
          <w:sz w:val="52"/>
          <w:szCs w:val="52"/>
        </w:rPr>
      </w:pPr>
    </w:p>
    <w:p w14:paraId="4E18D659" w14:textId="77777777" w:rsidR="005E0FAE" w:rsidRDefault="005E0FAE">
      <w:pPr>
        <w:spacing w:line="540" w:lineRule="exact"/>
        <w:jc w:val="center"/>
        <w:rPr>
          <w:rFonts w:ascii="华文中宋" w:eastAsia="华文中宋" w:hAnsi="华文中宋" w:cs="宋体" w:hint="eastAsia"/>
          <w:b/>
          <w:kern w:val="0"/>
          <w:sz w:val="52"/>
          <w:szCs w:val="52"/>
        </w:rPr>
      </w:pPr>
    </w:p>
    <w:p w14:paraId="29E3E495" w14:textId="77777777" w:rsidR="005E0FAE"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26C4F036" w14:textId="77777777" w:rsidR="005E0FAE" w:rsidRDefault="005E0FAE">
      <w:pPr>
        <w:spacing w:line="540" w:lineRule="exact"/>
        <w:jc w:val="center"/>
        <w:rPr>
          <w:rFonts w:ascii="华文中宋" w:eastAsia="华文中宋" w:hAnsi="华文中宋" w:cs="宋体" w:hint="eastAsia"/>
          <w:b/>
          <w:kern w:val="0"/>
          <w:sz w:val="52"/>
          <w:szCs w:val="52"/>
        </w:rPr>
      </w:pPr>
    </w:p>
    <w:p w14:paraId="6C40176A" w14:textId="77777777" w:rsidR="005E0FAE"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1CF2881" w14:textId="77777777" w:rsidR="005E0FAE" w:rsidRDefault="005E0FAE">
      <w:pPr>
        <w:spacing w:line="540" w:lineRule="exact"/>
        <w:jc w:val="center"/>
        <w:rPr>
          <w:rFonts w:eastAsia="仿宋_GB2312" w:hAnsi="宋体" w:cs="宋体" w:hint="eastAsia"/>
          <w:kern w:val="0"/>
          <w:sz w:val="30"/>
          <w:szCs w:val="30"/>
        </w:rPr>
      </w:pPr>
    </w:p>
    <w:p w14:paraId="3351C564" w14:textId="77777777" w:rsidR="005E0FAE" w:rsidRDefault="005E0FAE">
      <w:pPr>
        <w:spacing w:line="540" w:lineRule="exact"/>
        <w:jc w:val="center"/>
        <w:rPr>
          <w:rFonts w:eastAsia="仿宋_GB2312" w:hAnsi="宋体" w:cs="宋体" w:hint="eastAsia"/>
          <w:kern w:val="0"/>
          <w:sz w:val="30"/>
          <w:szCs w:val="30"/>
        </w:rPr>
      </w:pPr>
    </w:p>
    <w:p w14:paraId="630E4FCA" w14:textId="77777777" w:rsidR="005E0FAE" w:rsidRDefault="005E0FAE">
      <w:pPr>
        <w:spacing w:line="540" w:lineRule="exact"/>
        <w:jc w:val="center"/>
        <w:rPr>
          <w:rFonts w:eastAsia="仿宋_GB2312" w:hAnsi="宋体" w:cs="宋体" w:hint="eastAsia"/>
          <w:kern w:val="0"/>
          <w:sz w:val="30"/>
          <w:szCs w:val="30"/>
        </w:rPr>
      </w:pPr>
    </w:p>
    <w:p w14:paraId="3717D6A5" w14:textId="77777777" w:rsidR="005E0FAE" w:rsidRDefault="005E0FAE">
      <w:pPr>
        <w:spacing w:line="540" w:lineRule="exact"/>
        <w:jc w:val="center"/>
        <w:rPr>
          <w:rFonts w:eastAsia="仿宋_GB2312" w:hAnsi="宋体" w:cs="宋体" w:hint="eastAsia"/>
          <w:kern w:val="0"/>
          <w:sz w:val="30"/>
          <w:szCs w:val="30"/>
        </w:rPr>
      </w:pPr>
    </w:p>
    <w:p w14:paraId="28923EC0" w14:textId="77777777" w:rsidR="005E0FAE" w:rsidRDefault="005E0FAE">
      <w:pPr>
        <w:spacing w:line="540" w:lineRule="exact"/>
        <w:jc w:val="center"/>
        <w:rPr>
          <w:rFonts w:eastAsia="仿宋_GB2312" w:hAnsi="宋体" w:cs="宋体" w:hint="eastAsia"/>
          <w:kern w:val="0"/>
          <w:sz w:val="30"/>
          <w:szCs w:val="30"/>
        </w:rPr>
      </w:pPr>
    </w:p>
    <w:p w14:paraId="0D7E182E" w14:textId="77777777" w:rsidR="005E0FAE" w:rsidRDefault="005E0FAE">
      <w:pPr>
        <w:spacing w:line="540" w:lineRule="exact"/>
        <w:jc w:val="center"/>
        <w:rPr>
          <w:rFonts w:eastAsia="仿宋_GB2312" w:hAnsi="宋体" w:cs="宋体" w:hint="eastAsia"/>
          <w:kern w:val="0"/>
          <w:sz w:val="30"/>
          <w:szCs w:val="30"/>
        </w:rPr>
      </w:pPr>
    </w:p>
    <w:p w14:paraId="39725AAD" w14:textId="77777777" w:rsidR="005E0FAE" w:rsidRDefault="005E0FAE">
      <w:pPr>
        <w:spacing w:line="540" w:lineRule="exact"/>
        <w:rPr>
          <w:rFonts w:eastAsia="仿宋_GB2312" w:hAnsi="宋体" w:cs="宋体" w:hint="eastAsia"/>
          <w:kern w:val="0"/>
          <w:sz w:val="30"/>
          <w:szCs w:val="30"/>
        </w:rPr>
      </w:pPr>
    </w:p>
    <w:p w14:paraId="730D8100" w14:textId="77777777" w:rsidR="005E0FAE"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681ADB41" w14:textId="77777777" w:rsidR="005E0FAE"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村级（社区）运转经费</w:t>
      </w:r>
    </w:p>
    <w:p w14:paraId="695A28FF" w14:textId="77777777" w:rsidR="005E0FAE"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木垒县木垒镇政府本级</w:t>
      </w:r>
    </w:p>
    <w:p w14:paraId="42E3BD6A" w14:textId="77777777" w:rsidR="005E0FAE"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木垒县木垒镇政府本级</w:t>
      </w:r>
    </w:p>
    <w:p w14:paraId="35E6723C" w14:textId="77777777" w:rsidR="005E0FAE"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祁娟</w:t>
      </w:r>
    </w:p>
    <w:p w14:paraId="64B942C2" w14:textId="77777777" w:rsidR="005E0FAE"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2025年04月16日</w:t>
      </w:r>
    </w:p>
    <w:p w14:paraId="3242F9F3" w14:textId="77777777" w:rsidR="005E0FAE" w:rsidRDefault="005E0FAE">
      <w:pPr>
        <w:spacing w:line="700" w:lineRule="exact"/>
        <w:ind w:firstLineChars="236" w:firstLine="708"/>
        <w:jc w:val="left"/>
        <w:rPr>
          <w:rFonts w:eastAsia="仿宋_GB2312" w:hAnsi="宋体" w:cs="宋体" w:hint="eastAsia"/>
          <w:kern w:val="0"/>
          <w:sz w:val="30"/>
          <w:szCs w:val="30"/>
        </w:rPr>
      </w:pPr>
    </w:p>
    <w:p w14:paraId="4E7BA137" w14:textId="77777777" w:rsidR="005E0FAE" w:rsidRDefault="005E0FAE">
      <w:pPr>
        <w:spacing w:line="540" w:lineRule="exact"/>
        <w:rPr>
          <w:rStyle w:val="ad"/>
          <w:rFonts w:ascii="黑体" w:eastAsia="黑体" w:hAnsi="黑体" w:hint="eastAsia"/>
          <w:b w:val="0"/>
          <w:spacing w:val="-4"/>
          <w:sz w:val="32"/>
          <w:szCs w:val="32"/>
        </w:rPr>
      </w:pPr>
    </w:p>
    <w:p w14:paraId="77E48ED2" w14:textId="77777777" w:rsidR="005E0FA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1648184F" w14:textId="77777777" w:rsidR="005E0FA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66D958A7"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为了进一步夯实基层基础，促进村级（社区）组织依法有效履行职能，建立健全“资金稳定、管理规范、责任明晰、保障有力”的村级（社区）组织运转经费保障机制，根据《中共中央组织部、财政部关于加强村级组织运转经费保障工作的通知》（</w:t>
      </w:r>
      <w:proofErr w:type="gramStart"/>
      <w:r>
        <w:rPr>
          <w:rStyle w:val="ad"/>
          <w:rFonts w:ascii="楷体" w:eastAsia="楷体" w:hAnsi="楷体" w:hint="eastAsia"/>
          <w:b w:val="0"/>
          <w:bCs w:val="0"/>
          <w:spacing w:val="-4"/>
          <w:sz w:val="32"/>
          <w:szCs w:val="32"/>
        </w:rPr>
        <w:t>中组发【2016】</w:t>
      </w:r>
      <w:proofErr w:type="gramEnd"/>
      <w:r>
        <w:rPr>
          <w:rStyle w:val="ad"/>
          <w:rFonts w:ascii="楷体" w:eastAsia="楷体" w:hAnsi="楷体" w:hint="eastAsia"/>
          <w:b w:val="0"/>
          <w:bCs w:val="0"/>
          <w:spacing w:val="-4"/>
          <w:sz w:val="32"/>
          <w:szCs w:val="32"/>
        </w:rPr>
        <w:t>22号，文件明确列入规划的村级（社区）组织运转保障经费是为了保障村级（社区）组织正常开展日常工作设立的资金，使用范围主要包括为社区办公经费及其他必要支出，木垒镇人民政府实施了村级（社区）运转经费项目。</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项目资金主要用于2024年村级（社区）运转经费项目工作经费支出，主要用于水费、电费、电话费、暖气费、办公用品费、维修费、劳务费、车辆保险费和车辆加油费等费用的支出。</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自2024年01月开始，木垒镇人民政府各社区工作人员开展率=了2024年村级（社区）运转经费工作，保障社区各项工作和服务的顺利开展，维持社区稳定高效运行，提升社区公共服务水平和质量，优化社区环境，增强社区应急处理能力，促进社区居民生活和谐有序，推动社区可持续发展；提升群众生活质量和满意度，增强社区凝聚力与可持续发展能力，促进社会和谐发展，形成群众积极参与、服务持续优化的良好局面。</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村级（社区）运转经费和服务群众经费项目资金于2024年01月01木垒县财政局下发</w:t>
      </w:r>
      <w:proofErr w:type="gramStart"/>
      <w:r>
        <w:rPr>
          <w:rStyle w:val="ad"/>
          <w:rFonts w:ascii="楷体" w:eastAsia="楷体" w:hAnsi="楷体" w:hint="eastAsia"/>
          <w:b w:val="0"/>
          <w:bCs w:val="0"/>
          <w:spacing w:val="-4"/>
          <w:sz w:val="32"/>
          <w:szCs w:val="32"/>
        </w:rPr>
        <w:t>的木财预</w:t>
      </w:r>
      <w:proofErr w:type="gramEnd"/>
      <w:r>
        <w:rPr>
          <w:rStyle w:val="ad"/>
          <w:rFonts w:ascii="楷体" w:eastAsia="楷体" w:hAnsi="楷体" w:hint="eastAsia"/>
          <w:b w:val="0"/>
          <w:bCs w:val="0"/>
          <w:spacing w:val="-4"/>
          <w:sz w:val="32"/>
          <w:szCs w:val="32"/>
        </w:rPr>
        <w:t>字【2024】1号文件安排资金为80.23万元，为本级财政资金，实际到位率80.23万元，资金到位率100%，实际执行80.23万元，执行率100%，资金落实到位。为确保项目资金的安全有效使用、安全运行，提高资金的使用效率，我镇严格按照木垒镇财务会计内部控制制度执行，资金由财政大平台统一拨付，由财政监管，严禁随意调整预算，改变支出用途，做到专款专用，严禁截留、挪用、挤占项目资金等违规违纪问题的发生。</w:t>
      </w:r>
    </w:p>
    <w:p w14:paraId="3B2AE339" w14:textId="77777777" w:rsidR="005E0FA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775BD267" w14:textId="682FE783"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依据木财预</w:t>
      </w:r>
      <w:proofErr w:type="gramEnd"/>
      <w:r>
        <w:rPr>
          <w:rStyle w:val="ad"/>
          <w:rFonts w:ascii="楷体" w:eastAsia="楷体" w:hAnsi="楷体" w:hint="eastAsia"/>
          <w:b w:val="0"/>
          <w:bCs w:val="0"/>
          <w:spacing w:val="-4"/>
          <w:sz w:val="32"/>
          <w:szCs w:val="32"/>
        </w:rPr>
        <w:t>字【2024】1号文件要求，木垒镇计划使用村级（社区）运转经费资金保障木垒镇辖区7个社区正常办公运转改善社区集体工作、生活条件，巩固基层党组织政权，以保证基层单位</w:t>
      </w:r>
      <w:r w:rsidR="005366F8">
        <w:rPr>
          <w:rStyle w:val="ad"/>
          <w:rFonts w:ascii="楷体" w:eastAsia="楷体" w:hAnsi="楷体" w:hint="eastAsia"/>
          <w:b w:val="0"/>
          <w:bCs w:val="0"/>
          <w:spacing w:val="-4"/>
          <w:sz w:val="32"/>
          <w:szCs w:val="32"/>
        </w:rPr>
        <w:t>更好地为</w:t>
      </w:r>
      <w:r>
        <w:rPr>
          <w:rStyle w:val="ad"/>
          <w:rFonts w:ascii="楷体" w:eastAsia="楷体" w:hAnsi="楷体" w:hint="eastAsia"/>
          <w:b w:val="0"/>
          <w:bCs w:val="0"/>
          <w:spacing w:val="-4"/>
          <w:sz w:val="32"/>
          <w:szCs w:val="32"/>
        </w:rPr>
        <w:t>人民群众服务2.为社区居委会提供办公经费补助，改善单位办公条件，使干部更好的开展日常工作。</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2.12024年3月23日前完成村级（社区）运转经费资金20万元，主要用于支付水费，电费，邮电费，办公用品费，维修费，劳务费等工作；</w:t>
      </w:r>
      <w:r>
        <w:rPr>
          <w:rStyle w:val="ad"/>
          <w:rFonts w:ascii="楷体" w:eastAsia="楷体" w:hAnsi="楷体" w:hint="eastAsia"/>
          <w:b w:val="0"/>
          <w:bCs w:val="0"/>
          <w:spacing w:val="-4"/>
          <w:sz w:val="32"/>
          <w:szCs w:val="32"/>
        </w:rPr>
        <w:br/>
        <w:t>2.22024年6月10日前完成2023年12月15日前完成村级（社区）运转经费资金20万元，主要用于支付水费，电费，邮电费，办公用品费，维修费，劳务费等工作；</w:t>
      </w:r>
      <w:r>
        <w:rPr>
          <w:rStyle w:val="ad"/>
          <w:rFonts w:ascii="楷体" w:eastAsia="楷体" w:hAnsi="楷体" w:hint="eastAsia"/>
          <w:b w:val="0"/>
          <w:bCs w:val="0"/>
          <w:spacing w:val="-4"/>
          <w:sz w:val="32"/>
          <w:szCs w:val="32"/>
        </w:rPr>
        <w:br/>
        <w:t>2.32024年9月20日前完成2023年12月15日前完成村级（社区）运转经费资金20万元，主要用于支付水费，电费，邮电费，</w:t>
      </w:r>
      <w:r>
        <w:rPr>
          <w:rStyle w:val="ad"/>
          <w:rFonts w:ascii="楷体" w:eastAsia="楷体" w:hAnsi="楷体" w:hint="eastAsia"/>
          <w:b w:val="0"/>
          <w:bCs w:val="0"/>
          <w:spacing w:val="-4"/>
          <w:sz w:val="32"/>
          <w:szCs w:val="32"/>
        </w:rPr>
        <w:lastRenderedPageBreak/>
        <w:t>办公用品费，维修费，劳务费等工作；</w:t>
      </w:r>
      <w:r>
        <w:rPr>
          <w:rStyle w:val="ad"/>
          <w:rFonts w:ascii="楷体" w:eastAsia="楷体" w:hAnsi="楷体" w:hint="eastAsia"/>
          <w:b w:val="0"/>
          <w:bCs w:val="0"/>
          <w:spacing w:val="-4"/>
          <w:sz w:val="32"/>
          <w:szCs w:val="32"/>
        </w:rPr>
        <w:br/>
        <w:t>2.42024年12月2日前完成2023年12月15日前完成村级（社区）运转经费资金20.23万元，主要用于支付水费，电费，邮电费，办公用品费，维修费，劳务费等工作。</w:t>
      </w:r>
    </w:p>
    <w:p w14:paraId="18A3AB50" w14:textId="77777777" w:rsidR="005E0FA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59EFD322" w14:textId="77777777" w:rsidR="005E0FA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083AC98"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村级（社区）运转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单位根据《财政支出绩效评价管理暂行办法》（财预〔2020〕10号）文件要求实施评价工作，本次评价对象为村级（社区）</w:t>
      </w:r>
      <w:r>
        <w:rPr>
          <w:rStyle w:val="ad"/>
          <w:rFonts w:ascii="楷体" w:eastAsia="楷体" w:hAnsi="楷体" w:hint="eastAsia"/>
          <w:b w:val="0"/>
          <w:bCs w:val="0"/>
          <w:spacing w:val="-4"/>
          <w:sz w:val="32"/>
          <w:szCs w:val="32"/>
        </w:rPr>
        <w:lastRenderedPageBreak/>
        <w:t>运转经费项目，评价核心为项目决策、过程管理、项目产出、项目成本、项目效益。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评价主要对村级（社区）运转经费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（5）《中共中央组织部、财政部关于加强村级组织运转经费保障工作的通知》（</w:t>
      </w:r>
      <w:proofErr w:type="gramStart"/>
      <w:r>
        <w:rPr>
          <w:rStyle w:val="ad"/>
          <w:rFonts w:ascii="楷体" w:eastAsia="楷体" w:hAnsi="楷体" w:hint="eastAsia"/>
          <w:b w:val="0"/>
          <w:bCs w:val="0"/>
          <w:spacing w:val="-4"/>
          <w:sz w:val="32"/>
          <w:szCs w:val="32"/>
        </w:rPr>
        <w:t>中组发【2016】</w:t>
      </w:r>
      <w:proofErr w:type="gramEnd"/>
      <w:r>
        <w:rPr>
          <w:rStyle w:val="ad"/>
          <w:rFonts w:ascii="楷体" w:eastAsia="楷体" w:hAnsi="楷体" w:hint="eastAsia"/>
          <w:b w:val="0"/>
          <w:bCs w:val="0"/>
          <w:spacing w:val="-4"/>
          <w:sz w:val="32"/>
          <w:szCs w:val="32"/>
        </w:rPr>
        <w:t>22号</w:t>
      </w:r>
    </w:p>
    <w:p w14:paraId="36813CFA" w14:textId="77777777" w:rsidR="005E0FA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70D2308"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w:t>
      </w:r>
      <w:r>
        <w:rPr>
          <w:rStyle w:val="ad"/>
          <w:rFonts w:ascii="楷体" w:eastAsia="楷体" w:hAnsi="楷体" w:hint="eastAsia"/>
          <w:b w:val="0"/>
          <w:bCs w:val="0"/>
          <w:spacing w:val="-4"/>
          <w:sz w:val="32"/>
          <w:szCs w:val="32"/>
        </w:rPr>
        <w:lastRenderedPageBreak/>
        <w:t>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w:t>
      </w:r>
      <w:r>
        <w:rPr>
          <w:rStyle w:val="ad"/>
          <w:rFonts w:ascii="楷体" w:eastAsia="楷体" w:hAnsi="楷体" w:hint="eastAsia"/>
          <w:b w:val="0"/>
          <w:bCs w:val="0"/>
          <w:spacing w:val="-4"/>
          <w:sz w:val="32"/>
          <w:szCs w:val="32"/>
        </w:rPr>
        <w:lastRenderedPageBreak/>
        <w:t>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E05A612" w14:textId="77777777" w:rsidR="005E0FAE"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9C0FB45"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1.前期准备</w:t>
      </w:r>
      <w:r>
        <w:rPr>
          <w:rStyle w:val="ad"/>
          <w:rFonts w:ascii="楷体" w:eastAsia="楷体" w:hAnsi="楷体" w:hint="eastAsia"/>
          <w:b w:val="0"/>
          <w:bCs w:val="0"/>
          <w:spacing w:val="-4"/>
          <w:sz w:val="32"/>
          <w:szCs w:val="32"/>
        </w:rPr>
        <w:br/>
        <w:t>1.12024年12月10日，我单位在收到自评工作任务后及时组织了绩效评价工作小组，其中郭光华为组长，主要负责工作安排，王智珑为副组长，主要负责报告的审核、指导，骆尧尧组员负责资料、数据整理，编制报告。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1.2024年12月21日，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1.32024年12月22日，根据项目的实施内容和特征制定了评价指标体系及评价标准以及评价实施方案，修正并确定所需资料清单，最终确定绩效评价工作方案；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2B74744A" w14:textId="77777777" w:rsidR="005E0FA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2D9DF5C7" w14:textId="51FEFA53"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w:t>
      </w:r>
      <w:r>
        <w:rPr>
          <w:rStyle w:val="ad"/>
          <w:rFonts w:ascii="楷体" w:eastAsia="楷体" w:hAnsi="楷体" w:hint="eastAsia"/>
          <w:b w:val="0"/>
          <w:bCs w:val="0"/>
          <w:spacing w:val="-4"/>
          <w:sz w:val="32"/>
          <w:szCs w:val="32"/>
        </w:rPr>
        <w:lastRenderedPageBreak/>
        <w:t>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木垒镇辖区7个社区2024年正常办公运转，为社区居委会提供办公经费补助，对社区设备设施的日常维修，改善社区办公条件，使干部更好的开展日常工作；服务各社区群众改善社区集体工作、生活条件，巩固基层党组织政权，以保证基层单位</w:t>
      </w:r>
      <w:r w:rsidR="005366F8">
        <w:rPr>
          <w:rStyle w:val="ad"/>
          <w:rFonts w:ascii="楷体" w:eastAsia="楷体" w:hAnsi="楷体" w:hint="eastAsia"/>
          <w:b w:val="0"/>
          <w:bCs w:val="0"/>
          <w:spacing w:val="-4"/>
          <w:sz w:val="32"/>
          <w:szCs w:val="32"/>
        </w:rPr>
        <w:t>更好地为</w:t>
      </w:r>
      <w:r>
        <w:rPr>
          <w:rStyle w:val="ad"/>
          <w:rFonts w:ascii="楷体" w:eastAsia="楷体" w:hAnsi="楷体" w:hint="eastAsia"/>
          <w:b w:val="0"/>
          <w:bCs w:val="0"/>
          <w:spacing w:val="-4"/>
          <w:sz w:val="32"/>
          <w:szCs w:val="32"/>
        </w:rPr>
        <w:t>人民群众服务。</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94.17%。最终评分结果：总分为99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过程管理类指标共设置5个，满分指标4个，得分率90%；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14 50 20 99</w:t>
      </w:r>
    </w:p>
    <w:p w14:paraId="1FEAA44B" w14:textId="77777777" w:rsidR="005E0FAE"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lastRenderedPageBreak/>
        <w:t>四、绩效评价指标分析</w:t>
      </w:r>
      <w:r>
        <w:rPr>
          <w:rStyle w:val="ad"/>
          <w:rFonts w:ascii="黑体" w:eastAsia="黑体" w:hAnsi="黑体" w:hint="eastAsia"/>
        </w:rPr>
        <w:t xml:space="preserve"> </w:t>
      </w:r>
    </w:p>
    <w:p w14:paraId="07AD924A" w14:textId="77777777" w:rsidR="005E0FA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8D1C779" w14:textId="2EF2CFDF" w:rsidR="005E0FAE"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（1）《木财预字【2024】1号》</w:t>
      </w:r>
      <w:r>
        <w:rPr>
          <w:rStyle w:val="ad"/>
          <w:rFonts w:ascii="楷体" w:eastAsia="楷体" w:hAnsi="楷体" w:hint="eastAsia"/>
          <w:b w:val="0"/>
          <w:bCs w:val="0"/>
          <w:spacing w:val="-4"/>
          <w:sz w:val="32"/>
          <w:szCs w:val="32"/>
        </w:rPr>
        <w:br/>
        <w:t>（2）《财政部农业农村部关于印发&lt;农村集体经济组织财务制度&gt;的通知》（</w:t>
      </w:r>
      <w:proofErr w:type="gramStart"/>
      <w:r>
        <w:rPr>
          <w:rStyle w:val="ad"/>
          <w:rFonts w:ascii="楷体" w:eastAsia="楷体" w:hAnsi="楷体" w:hint="eastAsia"/>
          <w:b w:val="0"/>
          <w:bCs w:val="0"/>
          <w:spacing w:val="-4"/>
          <w:sz w:val="32"/>
          <w:szCs w:val="32"/>
        </w:rPr>
        <w:t>财农〔2021〕</w:t>
      </w:r>
      <w:proofErr w:type="gramEnd"/>
      <w:r>
        <w:rPr>
          <w:rStyle w:val="ad"/>
          <w:rFonts w:ascii="楷体" w:eastAsia="楷体" w:hAnsi="楷体" w:hint="eastAsia"/>
          <w:b w:val="0"/>
          <w:bCs w:val="0"/>
          <w:spacing w:val="-4"/>
          <w:sz w:val="32"/>
          <w:szCs w:val="32"/>
        </w:rPr>
        <w:t>121号</w:t>
      </w:r>
      <w:r>
        <w:rPr>
          <w:rStyle w:val="ad"/>
          <w:rFonts w:ascii="楷体" w:eastAsia="楷体" w:hAnsi="楷体" w:hint="eastAsia"/>
          <w:b w:val="0"/>
          <w:bCs w:val="0"/>
          <w:spacing w:val="-4"/>
          <w:sz w:val="32"/>
          <w:szCs w:val="32"/>
        </w:rPr>
        <w:br/>
        <w:t>（3）《关于印发&lt;昌吉州农村集体经济组织财务代理和监督管理办法（试行）&gt;的通知》（昌州农</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〔2023〕2号）</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②审批文件、材料：本项目审批文件有：《木财预字【2024】1号》，审批文件及材料齐全；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村级（社区）运转经费项目已设立项目绩效目标，具体内容为“（与村级（社区）运转经费资金80.23万元，保障木垒镇辖区7个社区2024年正常办公运转，为社区居委会提供办公经费补助，对</w:t>
      </w:r>
      <w:r>
        <w:rPr>
          <w:rStyle w:val="ad"/>
          <w:rFonts w:ascii="楷体" w:eastAsia="楷体" w:hAnsi="楷体" w:hint="eastAsia"/>
          <w:b w:val="0"/>
          <w:bCs w:val="0"/>
          <w:spacing w:val="-4"/>
          <w:sz w:val="32"/>
          <w:szCs w:val="32"/>
        </w:rPr>
        <w:lastRenderedPageBreak/>
        <w:t>社区设备设施的日常维修，改善社区办公条件，使干部更好的开展日常工作）”，具有相关性，绩效目标与实际工作内容一致，本项目按照绩效目标完成了数量指标、质量指标、时效指标、成本指标，有效保障了保障社区各项工作和服务的顺利开展，维持社区稳定高效运行，提升社区公共服务水平和质量，优化社区环境，增强社区应急处理能力，促进社区居民生活和谐有序，推动社区可持续发展，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村级（社区）运转经费项目将项目绩效目标细化分解为具体的绩效指标，一级指标共4条，二级指标共6条，三级指标共8条，其中定量指标数量共8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w:t>
      </w:r>
      <w:r w:rsidR="005366F8">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中共中央组织部、财政部关于加强村级组织运转经费保障工作的通知》》得出，项目预算编制根据项目内容进行计算，预算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财经领导会议确定，预算内容与项目内容无偏差，预算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w:t>
      </w:r>
      <w:r>
        <w:rPr>
          <w:rStyle w:val="ad"/>
          <w:rFonts w:ascii="楷体" w:eastAsia="楷体" w:hAnsi="楷体" w:hint="eastAsia"/>
          <w:b w:val="0"/>
          <w:bCs w:val="0"/>
          <w:spacing w:val="-4"/>
          <w:sz w:val="32"/>
          <w:szCs w:val="32"/>
        </w:rPr>
        <w:lastRenderedPageBreak/>
        <w:t>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w:t>
      </w:r>
      <w:proofErr w:type="gramStart"/>
      <w:r>
        <w:rPr>
          <w:rStyle w:val="ad"/>
          <w:rFonts w:ascii="楷体" w:eastAsia="楷体" w:hAnsi="楷体" w:hint="eastAsia"/>
          <w:b w:val="0"/>
          <w:bCs w:val="0"/>
          <w:spacing w:val="-4"/>
          <w:sz w:val="32"/>
          <w:szCs w:val="32"/>
        </w:rPr>
        <w:t>以木财预</w:t>
      </w:r>
      <w:proofErr w:type="gramEnd"/>
      <w:r>
        <w:rPr>
          <w:rStyle w:val="ad"/>
          <w:rFonts w:ascii="楷体" w:eastAsia="楷体" w:hAnsi="楷体" w:hint="eastAsia"/>
          <w:b w:val="0"/>
          <w:bCs w:val="0"/>
          <w:spacing w:val="-4"/>
          <w:sz w:val="32"/>
          <w:szCs w:val="32"/>
        </w:rPr>
        <w:t>字【2024】1号依据进行资金分配，预算资金分配依据充分。项目资金分配额度无偏低或偏高情况，分配额度合理。</w:t>
      </w:r>
      <w:proofErr w:type="gramStart"/>
      <w:r>
        <w:rPr>
          <w:rStyle w:val="ad"/>
          <w:rFonts w:ascii="楷体" w:eastAsia="楷体" w:hAnsi="楷体" w:hint="eastAsia"/>
          <w:b w:val="0"/>
          <w:bCs w:val="0"/>
          <w:spacing w:val="-4"/>
          <w:sz w:val="32"/>
          <w:szCs w:val="32"/>
        </w:rPr>
        <w:t>根据木财预</w:t>
      </w:r>
      <w:proofErr w:type="gramEnd"/>
      <w:r>
        <w:rPr>
          <w:rStyle w:val="ad"/>
          <w:rFonts w:ascii="楷体" w:eastAsia="楷体" w:hAnsi="楷体" w:hint="eastAsia"/>
          <w:b w:val="0"/>
          <w:bCs w:val="0"/>
          <w:spacing w:val="-4"/>
          <w:sz w:val="32"/>
          <w:szCs w:val="32"/>
        </w:rPr>
        <w:t>字【2024】1号文件显示，本项目实际到位资金80.23万元，实际分配资金与我单位提交申请的资金额度一致，资金分配额度合理，与我单位实际需求相适应。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12DE3557" w14:textId="77777777" w:rsidR="005E0FAE"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71B10FE9"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本项目预算资金为80.23万元，其中：其他资金80.23万元，实际到位资金80.23万元，资金到位率=（实际到位资金/预算资金）×100.00%=（100）*100.00%=100%。得分=资金到位率*分值=100.00%*3=3.00分。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本项目年初预算数80.23万元，全年预算数80.23万元，全年执行数80.23万元，预算执行率=（实际支出资金/实际到位资金）×100.00%=（80.23/80.23）*100.00%=100%。得分=预算执行率*分值=100%*5=100分。</w:t>
      </w:r>
      <w:r>
        <w:rPr>
          <w:rStyle w:val="ad"/>
          <w:rFonts w:ascii="楷体" w:eastAsia="楷体" w:hAnsi="楷体" w:hint="eastAsia"/>
          <w:b w:val="0"/>
          <w:bCs w:val="0"/>
          <w:spacing w:val="-4"/>
          <w:sz w:val="32"/>
          <w:szCs w:val="32"/>
        </w:rPr>
        <w:br/>
        <w:t>综上所述，本指标满分为5.00分，根据评分标准得5分，本项目预算按计划执行。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3.2资金的拨付严格按照木垒镇人民政府单位资金拨付审批程序进行：由财政所提交财政局申请到财政局领导，经审批后提交到财政局科室。项目资金拨付手续齐全，资金拨付手续有：木垒镇人民政府申请单。</w:t>
      </w:r>
      <w:r>
        <w:rPr>
          <w:rStyle w:val="ad"/>
          <w:rFonts w:ascii="楷体" w:eastAsia="楷体" w:hAnsi="楷体" w:hint="eastAsia"/>
          <w:b w:val="0"/>
          <w:bCs w:val="0"/>
          <w:spacing w:val="-4"/>
          <w:sz w:val="32"/>
          <w:szCs w:val="32"/>
        </w:rPr>
        <w:br/>
        <w:t>3.3本项目资金合同规定的用途为：建设社区运转经费、采购办公用品。符合项目预算批复及合同规定的用途；</w:t>
      </w:r>
      <w:r>
        <w:rPr>
          <w:rStyle w:val="ad"/>
          <w:rFonts w:ascii="楷体" w:eastAsia="楷体" w:hAnsi="楷体" w:hint="eastAsia"/>
          <w:b w:val="0"/>
          <w:bCs w:val="0"/>
          <w:spacing w:val="-4"/>
          <w:sz w:val="32"/>
          <w:szCs w:val="32"/>
        </w:rPr>
        <w:br/>
        <w:t>3.4项目资金截至2024年12月30日已拨付至100%，过程不存在截留、挤占、挪用、虚列支出等情况。</w:t>
      </w:r>
      <w:r>
        <w:rPr>
          <w:rStyle w:val="ad"/>
          <w:rFonts w:ascii="楷体" w:eastAsia="楷体" w:hAnsi="楷体" w:hint="eastAsia"/>
          <w:b w:val="0"/>
          <w:bCs w:val="0"/>
          <w:spacing w:val="-4"/>
          <w:sz w:val="32"/>
          <w:szCs w:val="32"/>
        </w:rPr>
        <w:br/>
        <w:t>综上所述，本指标满分为1分，根据评分标准得1分</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4.1本项目已制定《木垒县木垒镇人民政府项目财务管理制度》、《木垒县木垒镇人民政府项目业务管理制度》，管理制度健全；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4.2本项目财务及业务管理制度符合《中华人民共和国政府采购法》、《中华人民共和国会计法》等相关法律法规，财务和业务管理制度已经过财政局审批通过，确保了各项制度的合法合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综上所述，本指标满分为2分，根据评分标准得1分，项目制度建设健全。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30BC5E86" w14:textId="77777777" w:rsidR="005E0FA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4582FE57" w14:textId="587E6225"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村级（社区）运转经费和服务群众经费项目截止到2024年12月31日，已完成本项目已完成如下工作：完成使用村级运转经费和服务群众经费资金80.23万元，保障木垒镇辖区7个社区正常办公运转、服务各社区群众改善社区集体工作、生活条件，巩固基层党组织政权，以保证基层单位</w:t>
      </w:r>
      <w:r w:rsidR="005366F8">
        <w:rPr>
          <w:rStyle w:val="ad"/>
          <w:rFonts w:ascii="楷体" w:eastAsia="楷体" w:hAnsi="楷体" w:hint="eastAsia"/>
          <w:b w:val="0"/>
          <w:bCs w:val="0"/>
          <w:spacing w:val="-4"/>
          <w:sz w:val="32"/>
          <w:szCs w:val="32"/>
        </w:rPr>
        <w:t>更好地为</w:t>
      </w:r>
      <w:r>
        <w:rPr>
          <w:rStyle w:val="ad"/>
          <w:rFonts w:ascii="楷体" w:eastAsia="楷体" w:hAnsi="楷体" w:hint="eastAsia"/>
          <w:b w:val="0"/>
          <w:bCs w:val="0"/>
          <w:spacing w:val="-4"/>
          <w:sz w:val="32"/>
          <w:szCs w:val="32"/>
        </w:rPr>
        <w:t>人民群众服务2.为社区居委会提供办公经费补助，改善单位办公条件，使干部更好的开展日常工作。其中：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指标1：惠及社区数量，指标值：=7个，实际完成值7个，指标完成率100%，本条指标无偏差；</w:t>
      </w:r>
      <w:r>
        <w:rPr>
          <w:rStyle w:val="ad"/>
          <w:rFonts w:ascii="楷体" w:eastAsia="楷体" w:hAnsi="楷体" w:hint="eastAsia"/>
          <w:b w:val="0"/>
          <w:bCs w:val="0"/>
          <w:spacing w:val="-4"/>
          <w:sz w:val="32"/>
          <w:szCs w:val="32"/>
        </w:rPr>
        <w:br/>
        <w:t>指标2：保障办公人员数量，指标值：≥18人，实际完成值18人，指标完成率100%，本条指标无偏差。</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指标1：社区工作完成率，指标值：=100%，实际完成值100%，指标完成率100%，本条指标无偏差。</w:t>
      </w:r>
      <w:r>
        <w:rPr>
          <w:rStyle w:val="ad"/>
          <w:rFonts w:ascii="楷体" w:eastAsia="楷体" w:hAnsi="楷体" w:hint="eastAsia"/>
          <w:b w:val="0"/>
          <w:bCs w:val="0"/>
          <w:spacing w:val="-4"/>
          <w:sz w:val="32"/>
          <w:szCs w:val="32"/>
        </w:rPr>
        <w:br/>
        <w:t>综上所述，本指标满分为12分，根据评分标准得12分。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3.时效指标完成情况分析</w:t>
      </w:r>
      <w:r>
        <w:rPr>
          <w:rStyle w:val="ad"/>
          <w:rFonts w:ascii="楷体" w:eastAsia="楷体" w:hAnsi="楷体" w:hint="eastAsia"/>
          <w:b w:val="0"/>
          <w:bCs w:val="0"/>
          <w:spacing w:val="-4"/>
          <w:sz w:val="32"/>
          <w:szCs w:val="32"/>
        </w:rPr>
        <w:br/>
        <w:t>指标1：公用经费支付及时率，指标值：=100%，实际完成值100%，指标完成率100%，本条指标无偏差；</w:t>
      </w:r>
      <w:r>
        <w:rPr>
          <w:rStyle w:val="ad"/>
          <w:rFonts w:ascii="楷体" w:eastAsia="楷体" w:hAnsi="楷体" w:hint="eastAsia"/>
          <w:b w:val="0"/>
          <w:bCs w:val="0"/>
          <w:spacing w:val="-4"/>
          <w:sz w:val="32"/>
          <w:szCs w:val="32"/>
        </w:rPr>
        <w:br/>
        <w:t>指标2：社区工作处理及时率，指标值：=100%，实际完成值100%，指标完成率100%，本条指标无偏差。</w:t>
      </w:r>
      <w:r>
        <w:rPr>
          <w:rStyle w:val="ad"/>
          <w:rFonts w:ascii="楷体" w:eastAsia="楷体" w:hAnsi="楷体" w:hint="eastAsia"/>
          <w:b w:val="0"/>
          <w:bCs w:val="0"/>
          <w:spacing w:val="-4"/>
          <w:sz w:val="32"/>
          <w:szCs w:val="32"/>
        </w:rPr>
        <w:br/>
        <w:t>综上所述，本指标满分为11分，根据评分标准得11分。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指标1：社区运转经费标准，指标值：≤11.5万元/</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，实际完成值11.5万元/</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，指标完成率100%，本条指标无偏差。</w:t>
      </w:r>
      <w:r>
        <w:rPr>
          <w:rStyle w:val="ad"/>
          <w:rFonts w:ascii="楷体" w:eastAsia="楷体" w:hAnsi="楷体" w:hint="eastAsia"/>
          <w:b w:val="0"/>
          <w:bCs w:val="0"/>
          <w:spacing w:val="-4"/>
          <w:sz w:val="32"/>
          <w:szCs w:val="32"/>
        </w:rPr>
        <w:br/>
        <w:t>综上所述，本指标满分为12分，根据评分标准得12分。</w:t>
      </w:r>
    </w:p>
    <w:p w14:paraId="4D642A45" w14:textId="77777777" w:rsidR="005E0FAE"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16B66AAB"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我单位村级（社区）村级经费项目截止到2024年12月31日，已完成项目实施的社会效益分析；其中：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指标1：社区正常运转率，指标值：&gt;=20人，实际完成值20人，指标完成率100%，本条指标无偏差。</w:t>
      </w:r>
      <w:r>
        <w:rPr>
          <w:rStyle w:val="ad"/>
          <w:rFonts w:ascii="楷体" w:eastAsia="楷体" w:hAnsi="楷体" w:hint="eastAsia"/>
          <w:b w:val="0"/>
          <w:bCs w:val="0"/>
          <w:spacing w:val="-4"/>
          <w:sz w:val="32"/>
          <w:szCs w:val="32"/>
        </w:rPr>
        <w:br/>
        <w:t>综上所述，本指标满分为10分，根据评分标准得10分。</w:t>
      </w:r>
    </w:p>
    <w:p w14:paraId="6F26CE2D"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指标1：社区干部满意度，指标值：&gt;=90%，实际完成值90%，指标完成率100%，本条指标无偏差。</w:t>
      </w:r>
      <w:r>
        <w:rPr>
          <w:rStyle w:val="ad"/>
          <w:rFonts w:ascii="楷体" w:eastAsia="楷体" w:hAnsi="楷体" w:hint="eastAsia"/>
          <w:b w:val="0"/>
          <w:bCs w:val="0"/>
          <w:spacing w:val="-4"/>
          <w:sz w:val="32"/>
          <w:szCs w:val="32"/>
        </w:rPr>
        <w:br/>
        <w:t>综上所述，本指标满分为10分，根据评分标准得10分。</w:t>
      </w:r>
    </w:p>
    <w:p w14:paraId="3EC08D0F" w14:textId="77777777" w:rsidR="005E0FAE" w:rsidRDefault="005E0FAE">
      <w:pPr>
        <w:spacing w:line="540" w:lineRule="exact"/>
        <w:ind w:firstLine="567"/>
        <w:rPr>
          <w:rStyle w:val="ad"/>
          <w:rFonts w:ascii="楷体" w:eastAsia="楷体" w:hAnsi="楷体" w:hint="eastAsia"/>
          <w:b w:val="0"/>
          <w:bCs w:val="0"/>
          <w:spacing w:val="-4"/>
          <w:sz w:val="32"/>
          <w:szCs w:val="32"/>
        </w:rPr>
      </w:pPr>
    </w:p>
    <w:p w14:paraId="7BF043E6" w14:textId="77777777" w:rsidR="005E0FAE" w:rsidRDefault="005E0FAE">
      <w:pPr>
        <w:spacing w:line="540" w:lineRule="exact"/>
        <w:ind w:firstLine="567"/>
        <w:rPr>
          <w:rStyle w:val="ad"/>
          <w:rFonts w:ascii="楷体" w:eastAsia="楷体" w:hAnsi="楷体" w:hint="eastAsia"/>
          <w:spacing w:val="-4"/>
          <w:sz w:val="32"/>
          <w:szCs w:val="32"/>
        </w:rPr>
      </w:pPr>
    </w:p>
    <w:p w14:paraId="4B69CB63" w14:textId="77777777" w:rsidR="005E0FAE"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4AC601E" w14:textId="77777777" w:rsidR="005E0FAE"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（1）是管理愈加规范。制定了专项资金管理工作制度，明确了</w:t>
      </w:r>
      <w:r>
        <w:rPr>
          <w:rStyle w:val="ad"/>
          <w:rFonts w:ascii="楷体" w:eastAsia="楷体" w:hAnsi="楷体" w:hint="eastAsia"/>
          <w:b w:val="0"/>
          <w:bCs w:val="0"/>
          <w:spacing w:val="-4"/>
          <w:sz w:val="32"/>
          <w:szCs w:val="32"/>
        </w:rPr>
        <w:lastRenderedPageBreak/>
        <w:t>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Pr>
          <w:rStyle w:val="ad"/>
          <w:rFonts w:ascii="楷体" w:eastAsia="楷体" w:hAnsi="楷体" w:hint="eastAsia"/>
          <w:b w:val="0"/>
          <w:bCs w:val="0"/>
          <w:spacing w:val="-4"/>
          <w:sz w:val="32"/>
          <w:szCs w:val="32"/>
        </w:rPr>
        <w:t>编印承报上级</w:t>
      </w:r>
      <w:proofErr w:type="gramEnd"/>
      <w:r>
        <w:rPr>
          <w:rStyle w:val="ad"/>
          <w:rFonts w:ascii="楷体" w:eastAsia="楷体" w:hAnsi="楷体" w:hint="eastAsia"/>
          <w:b w:val="0"/>
          <w:bCs w:val="0"/>
          <w:spacing w:val="-4"/>
          <w:sz w:val="32"/>
          <w:szCs w:val="32"/>
        </w:rPr>
        <w:t>部门和各级领导。</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对此，预算单位会同财政部门共同梳理项目绩效目标，合理测算</w:t>
      </w:r>
      <w:r>
        <w:rPr>
          <w:rStyle w:val="ad"/>
          <w:rFonts w:ascii="楷体" w:eastAsia="楷体" w:hAnsi="楷体" w:hint="eastAsia"/>
          <w:b w:val="0"/>
          <w:bCs w:val="0"/>
          <w:spacing w:val="-4"/>
          <w:sz w:val="32"/>
          <w:szCs w:val="32"/>
        </w:rPr>
        <w:lastRenderedPageBreak/>
        <w:t>项目工作量，科学编制预算。</w:t>
      </w:r>
    </w:p>
    <w:p w14:paraId="53F03FDB" w14:textId="77777777" w:rsidR="005E0FA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42CE900C" w14:textId="77777777" w:rsidR="005E0FAE"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0978EDE3" w14:textId="77777777" w:rsidR="005E0FAE"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7F4AC28D" w14:textId="77777777" w:rsidR="005E0FAE"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1.本次预算绩效评价所采集的数据因为采集时间、数据来源等诸多因素的影响，可能会出现一定的偏差，进而对评价结果存在影响；</w:t>
      </w:r>
    </w:p>
    <w:p w14:paraId="7216980D" w14:textId="77777777" w:rsidR="005E0FAE" w:rsidRDefault="005E0FAE">
      <w:pPr>
        <w:spacing w:line="540" w:lineRule="exact"/>
        <w:ind w:firstLine="567"/>
        <w:rPr>
          <w:rStyle w:val="ad"/>
          <w:rFonts w:ascii="仿宋" w:eastAsia="仿宋" w:hAnsi="仿宋" w:hint="eastAsia"/>
          <w:b w:val="0"/>
          <w:spacing w:val="-4"/>
          <w:sz w:val="32"/>
          <w:szCs w:val="32"/>
        </w:rPr>
      </w:pPr>
    </w:p>
    <w:p w14:paraId="67D41C3D" w14:textId="77777777" w:rsidR="005E0FAE" w:rsidRDefault="005E0FAE">
      <w:pPr>
        <w:spacing w:line="540" w:lineRule="exact"/>
        <w:ind w:firstLine="567"/>
        <w:rPr>
          <w:rStyle w:val="ad"/>
          <w:rFonts w:ascii="仿宋" w:eastAsia="仿宋" w:hAnsi="仿宋" w:hint="eastAsia"/>
          <w:b w:val="0"/>
          <w:spacing w:val="-4"/>
          <w:sz w:val="32"/>
          <w:szCs w:val="32"/>
        </w:rPr>
      </w:pPr>
    </w:p>
    <w:p w14:paraId="4F4C3131" w14:textId="77777777" w:rsidR="005E0FAE" w:rsidRDefault="005E0FAE">
      <w:pPr>
        <w:spacing w:line="540" w:lineRule="exact"/>
        <w:ind w:firstLine="567"/>
        <w:rPr>
          <w:rStyle w:val="ad"/>
          <w:rFonts w:ascii="仿宋" w:eastAsia="仿宋" w:hAnsi="仿宋" w:hint="eastAsia"/>
          <w:b w:val="0"/>
          <w:spacing w:val="-4"/>
          <w:sz w:val="32"/>
          <w:szCs w:val="32"/>
        </w:rPr>
      </w:pPr>
    </w:p>
    <w:p w14:paraId="39080742" w14:textId="77777777" w:rsidR="005E0FAE" w:rsidRDefault="005E0FAE">
      <w:pPr>
        <w:spacing w:line="540" w:lineRule="exact"/>
        <w:ind w:firstLine="567"/>
        <w:rPr>
          <w:rStyle w:val="ad"/>
          <w:rFonts w:ascii="仿宋" w:eastAsia="仿宋" w:hAnsi="仿宋" w:hint="eastAsia"/>
          <w:b w:val="0"/>
          <w:spacing w:val="-4"/>
          <w:sz w:val="32"/>
          <w:szCs w:val="32"/>
        </w:rPr>
      </w:pPr>
    </w:p>
    <w:p w14:paraId="040B3C62" w14:textId="77777777" w:rsidR="005E0FAE" w:rsidRDefault="005E0FAE">
      <w:pPr>
        <w:spacing w:line="540" w:lineRule="exact"/>
        <w:ind w:firstLine="567"/>
        <w:rPr>
          <w:rStyle w:val="ad"/>
          <w:rFonts w:ascii="仿宋" w:eastAsia="仿宋" w:hAnsi="仿宋" w:hint="eastAsia"/>
          <w:b w:val="0"/>
          <w:spacing w:val="-4"/>
          <w:sz w:val="32"/>
          <w:szCs w:val="32"/>
        </w:rPr>
      </w:pPr>
    </w:p>
    <w:sectPr w:rsidR="005E0FA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4063C" w14:textId="77777777" w:rsidR="00295D3F" w:rsidRDefault="00295D3F">
      <w:r>
        <w:separator/>
      </w:r>
    </w:p>
  </w:endnote>
  <w:endnote w:type="continuationSeparator" w:id="0">
    <w:p w14:paraId="63FC5B78" w14:textId="77777777" w:rsidR="00295D3F" w:rsidRDefault="0029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B20C024" w14:textId="77777777" w:rsidR="005E0FAE" w:rsidRDefault="00000000">
        <w:pPr>
          <w:pStyle w:val="a5"/>
          <w:jc w:val="center"/>
        </w:pPr>
        <w:r>
          <w:fldChar w:fldCharType="begin"/>
        </w:r>
        <w:r>
          <w:instrText>PAGE   \* MERGEFORMAT</w:instrText>
        </w:r>
        <w:r>
          <w:fldChar w:fldCharType="separate"/>
        </w:r>
        <w:r>
          <w:rPr>
            <w:lang w:val="zh-CN"/>
          </w:rPr>
          <w:t>2</w:t>
        </w:r>
        <w:r>
          <w:fldChar w:fldCharType="end"/>
        </w:r>
      </w:p>
    </w:sdtContent>
  </w:sdt>
  <w:p w14:paraId="1277FD32" w14:textId="77777777" w:rsidR="005E0FAE" w:rsidRDefault="005E0F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45D3D" w14:textId="77777777" w:rsidR="00295D3F" w:rsidRDefault="00295D3F">
      <w:r>
        <w:separator/>
      </w:r>
    </w:p>
  </w:footnote>
  <w:footnote w:type="continuationSeparator" w:id="0">
    <w:p w14:paraId="6CE8A97D" w14:textId="77777777" w:rsidR="00295D3F" w:rsidRDefault="00295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76356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95D3F"/>
    <w:rsid w:val="00311DBE"/>
    <w:rsid w:val="004366A8"/>
    <w:rsid w:val="00502BA7"/>
    <w:rsid w:val="005162F1"/>
    <w:rsid w:val="00535153"/>
    <w:rsid w:val="005366F8"/>
    <w:rsid w:val="00554F82"/>
    <w:rsid w:val="0056390D"/>
    <w:rsid w:val="005719B0"/>
    <w:rsid w:val="005D10D6"/>
    <w:rsid w:val="005E0FAE"/>
    <w:rsid w:val="00855E3A"/>
    <w:rsid w:val="0091457F"/>
    <w:rsid w:val="00922CB9"/>
    <w:rsid w:val="009A0637"/>
    <w:rsid w:val="009E5CD9"/>
    <w:rsid w:val="00A26421"/>
    <w:rsid w:val="00A34588"/>
    <w:rsid w:val="00A4293B"/>
    <w:rsid w:val="00A67D50"/>
    <w:rsid w:val="00A8691A"/>
    <w:rsid w:val="00AC1946"/>
    <w:rsid w:val="00B40063"/>
    <w:rsid w:val="00B41F61"/>
    <w:rsid w:val="00B858E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399A5"/>
  <w15:docId w15:val="{5DE2E393-5B43-420F-8292-C7A77812D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4684</Words>
  <Characters>4966</Characters>
  <Application>Microsoft Office Word</Application>
  <DocSecurity>0</DocSecurity>
  <Lines>236</Lines>
  <Paragraphs>38</Paragraphs>
  <ScaleCrop>false</ScaleCrop>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